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FB8D" w14:textId="7E0E1D3E" w:rsidR="00DF6DEA" w:rsidRPr="00484661" w:rsidRDefault="00684C10" w:rsidP="00684C10">
      <w:pPr>
        <w:spacing w:after="0"/>
        <w:jc w:val="both"/>
        <w:rPr>
          <w:rFonts w:ascii="Arial Narrow" w:hAnsi="Arial Narrow"/>
          <w:b/>
          <w:bCs/>
          <w:sz w:val="28"/>
          <w:szCs w:val="28"/>
        </w:rPr>
      </w:pPr>
      <w:r w:rsidRPr="00484661">
        <w:rPr>
          <w:rFonts w:ascii="Arial Narrow" w:hAnsi="Arial Narrow"/>
          <w:b/>
          <w:bCs/>
          <w:sz w:val="28"/>
          <w:szCs w:val="28"/>
        </w:rPr>
        <w:t>Les principa</w:t>
      </w:r>
      <w:r w:rsidR="004D45E5">
        <w:rPr>
          <w:rFonts w:ascii="Arial Narrow" w:hAnsi="Arial Narrow"/>
          <w:b/>
          <w:bCs/>
          <w:sz w:val="28"/>
          <w:szCs w:val="28"/>
        </w:rPr>
        <w:t>les activités</w:t>
      </w:r>
      <w:r w:rsidRPr="00484661">
        <w:rPr>
          <w:rFonts w:ascii="Arial Narrow" w:hAnsi="Arial Narrow"/>
          <w:b/>
          <w:bCs/>
          <w:sz w:val="28"/>
          <w:szCs w:val="28"/>
        </w:rPr>
        <w:t xml:space="preserve"> en bref</w:t>
      </w:r>
      <w:r w:rsidR="00484661" w:rsidRPr="00484661">
        <w:rPr>
          <w:rFonts w:ascii="Arial Narrow" w:hAnsi="Arial Narrow"/>
          <w:b/>
          <w:bCs/>
          <w:sz w:val="28"/>
          <w:szCs w:val="28"/>
        </w:rPr>
        <w:t xml:space="preserve"> sur chacun des sites pilotes</w:t>
      </w:r>
    </w:p>
    <w:p w14:paraId="2825C8AC" w14:textId="4C90282E" w:rsidR="00684C10" w:rsidRPr="00684C10" w:rsidRDefault="00684C10" w:rsidP="00684C10">
      <w:pPr>
        <w:spacing w:after="0"/>
        <w:jc w:val="both"/>
        <w:rPr>
          <w:rFonts w:ascii="Arial Narrow" w:hAnsi="Arial Narrow"/>
          <w:sz w:val="18"/>
          <w:szCs w:val="18"/>
        </w:rPr>
      </w:pPr>
    </w:p>
    <w:tbl>
      <w:tblPr>
        <w:tblStyle w:val="Grilledutableau"/>
        <w:tblW w:w="150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9214"/>
        <w:gridCol w:w="4677"/>
      </w:tblGrid>
      <w:tr w:rsidR="00684C10" w:rsidRPr="00684C10" w14:paraId="3E8D7A05" w14:textId="77777777" w:rsidTr="007F6DF7">
        <w:tc>
          <w:tcPr>
            <w:tcW w:w="1129" w:type="dxa"/>
            <w:shd w:val="clear" w:color="auto" w:fill="2F5496" w:themeFill="accent1" w:themeFillShade="BF"/>
            <w:vAlign w:val="center"/>
          </w:tcPr>
          <w:p w14:paraId="3D4F87D5" w14:textId="6DF35CBD" w:rsidR="00684C10" w:rsidRPr="007F6DF7" w:rsidRDefault="00484661" w:rsidP="00484661">
            <w:pPr>
              <w:jc w:val="center"/>
              <w:rPr>
                <w:rFonts w:ascii="Arial Narrow" w:hAnsi="Arial Narrow"/>
                <w:b/>
                <w:bCs/>
                <w:color w:val="FFFFFF" w:themeColor="background1"/>
              </w:rPr>
            </w:pPr>
            <w:r w:rsidRPr="007F6DF7">
              <w:rPr>
                <w:rFonts w:ascii="Arial Narrow" w:hAnsi="Arial Narrow"/>
                <w:b/>
                <w:bCs/>
                <w:color w:val="FFFFFF" w:themeColor="background1"/>
              </w:rPr>
              <w:t>Site pilotes</w:t>
            </w:r>
          </w:p>
        </w:tc>
        <w:tc>
          <w:tcPr>
            <w:tcW w:w="9214" w:type="dxa"/>
            <w:shd w:val="clear" w:color="auto" w:fill="2F5496" w:themeFill="accent1" w:themeFillShade="BF"/>
            <w:vAlign w:val="center"/>
          </w:tcPr>
          <w:p w14:paraId="198D2A9C" w14:textId="77777777" w:rsidR="00484661" w:rsidRPr="007F6DF7" w:rsidRDefault="00684C10" w:rsidP="00484661">
            <w:pPr>
              <w:jc w:val="center"/>
              <w:rPr>
                <w:rFonts w:ascii="Arial Narrow" w:hAnsi="Arial Narrow"/>
                <w:b/>
                <w:bCs/>
                <w:color w:val="FFFFFF" w:themeColor="background1"/>
              </w:rPr>
            </w:pPr>
            <w:r w:rsidRPr="007F6DF7">
              <w:rPr>
                <w:rFonts w:ascii="Arial Narrow" w:hAnsi="Arial Narrow"/>
                <w:b/>
                <w:bCs/>
                <w:color w:val="FFFFFF" w:themeColor="background1"/>
              </w:rPr>
              <w:t xml:space="preserve">Composante 1 : définition et mise en œuvre de projets de démonstration </w:t>
            </w:r>
          </w:p>
          <w:p w14:paraId="2F1AC368" w14:textId="498BF6F0" w:rsidR="00684C10" w:rsidRPr="007F6DF7" w:rsidRDefault="00684C10" w:rsidP="00484661">
            <w:pPr>
              <w:jc w:val="center"/>
              <w:rPr>
                <w:rFonts w:ascii="Arial Narrow" w:hAnsi="Arial Narrow"/>
                <w:b/>
                <w:bCs/>
                <w:color w:val="FFFFFF" w:themeColor="background1"/>
              </w:rPr>
            </w:pPr>
            <w:proofErr w:type="gramStart"/>
            <w:r w:rsidRPr="007F6DF7">
              <w:rPr>
                <w:rFonts w:ascii="Arial Narrow" w:hAnsi="Arial Narrow"/>
                <w:b/>
                <w:bCs/>
                <w:color w:val="FFFFFF" w:themeColor="background1"/>
              </w:rPr>
              <w:t>d'infrastructures</w:t>
            </w:r>
            <w:proofErr w:type="gramEnd"/>
            <w:r w:rsidRPr="007F6DF7">
              <w:rPr>
                <w:rFonts w:ascii="Arial Narrow" w:hAnsi="Arial Narrow"/>
                <w:b/>
                <w:bCs/>
                <w:color w:val="FFFFFF" w:themeColor="background1"/>
              </w:rPr>
              <w:t xml:space="preserve"> vertes et grises</w:t>
            </w:r>
          </w:p>
        </w:tc>
        <w:tc>
          <w:tcPr>
            <w:tcW w:w="4677" w:type="dxa"/>
            <w:shd w:val="clear" w:color="auto" w:fill="2F5496" w:themeFill="accent1" w:themeFillShade="BF"/>
            <w:vAlign w:val="center"/>
          </w:tcPr>
          <w:p w14:paraId="30C73C22" w14:textId="57A858D8" w:rsidR="00684C10" w:rsidRPr="007F6DF7" w:rsidRDefault="00484661" w:rsidP="00484661">
            <w:pPr>
              <w:jc w:val="center"/>
              <w:rPr>
                <w:rFonts w:ascii="Arial Narrow" w:hAnsi="Arial Narrow"/>
                <w:b/>
                <w:bCs/>
                <w:color w:val="FFFFFF" w:themeColor="background1"/>
              </w:rPr>
            </w:pPr>
            <w:r w:rsidRPr="007F6DF7">
              <w:rPr>
                <w:rFonts w:ascii="Arial Narrow" w:hAnsi="Arial Narrow"/>
                <w:b/>
                <w:bCs/>
                <w:color w:val="FFFFFF" w:themeColor="background1"/>
              </w:rPr>
              <w:t>Composante 2 : Mise en œuvre d'un programme de développement de ressources de subsistance alternatives et durables</w:t>
            </w:r>
          </w:p>
        </w:tc>
      </w:tr>
      <w:tr w:rsidR="00684C10" w:rsidRPr="00684C10" w14:paraId="68FA9CF2" w14:textId="77777777" w:rsidTr="00484661">
        <w:tc>
          <w:tcPr>
            <w:tcW w:w="1129" w:type="dxa"/>
          </w:tcPr>
          <w:p w14:paraId="19C036A5" w14:textId="36A8B7AC" w:rsidR="00684C10" w:rsidRPr="00484661" w:rsidRDefault="00684C10" w:rsidP="00684C10">
            <w:pPr>
              <w:jc w:val="both"/>
              <w:rPr>
                <w:rFonts w:ascii="Arial Narrow" w:hAnsi="Arial Narrow"/>
                <w:b/>
                <w:bCs/>
                <w:sz w:val="18"/>
                <w:szCs w:val="18"/>
              </w:rPr>
            </w:pPr>
            <w:proofErr w:type="spellStart"/>
            <w:r w:rsidRPr="00484661">
              <w:rPr>
                <w:rFonts w:ascii="Arial Narrow" w:hAnsi="Arial Narrow"/>
                <w:b/>
                <w:bCs/>
                <w:sz w:val="18"/>
                <w:szCs w:val="18"/>
              </w:rPr>
              <w:t>Bagongon</w:t>
            </w:r>
            <w:proofErr w:type="spellEnd"/>
          </w:p>
        </w:tc>
        <w:tc>
          <w:tcPr>
            <w:tcW w:w="9214" w:type="dxa"/>
          </w:tcPr>
          <w:p w14:paraId="2C21DFF3" w14:textId="77777777" w:rsidR="00484661" w:rsidRDefault="00684C10" w:rsidP="00684C10">
            <w:pPr>
              <w:jc w:val="both"/>
              <w:rPr>
                <w:rFonts w:ascii="Arial Narrow" w:hAnsi="Arial Narrow"/>
                <w:sz w:val="18"/>
                <w:szCs w:val="18"/>
              </w:rPr>
            </w:pPr>
            <w:r w:rsidRPr="00684C10">
              <w:rPr>
                <w:rFonts w:ascii="Arial Narrow" w:hAnsi="Arial Narrow"/>
                <w:sz w:val="18"/>
                <w:szCs w:val="18"/>
              </w:rPr>
              <w:t xml:space="preserve">Le projet GGI à </w:t>
            </w:r>
            <w:proofErr w:type="spellStart"/>
            <w:r w:rsidRPr="00684C10">
              <w:rPr>
                <w:rFonts w:ascii="Arial Narrow" w:hAnsi="Arial Narrow"/>
                <w:sz w:val="18"/>
                <w:szCs w:val="18"/>
              </w:rPr>
              <w:t>Bagongon</w:t>
            </w:r>
            <w:proofErr w:type="spellEnd"/>
            <w:r w:rsidRPr="00684C10">
              <w:rPr>
                <w:rFonts w:ascii="Arial Narrow" w:hAnsi="Arial Narrow"/>
                <w:sz w:val="18"/>
                <w:szCs w:val="18"/>
              </w:rPr>
              <w:t xml:space="preserve"> a été mis en œuvre par l'intermédiaire de l'organisation communautaire </w:t>
            </w:r>
            <w:proofErr w:type="spellStart"/>
            <w:r w:rsidRPr="00684C10">
              <w:rPr>
                <w:rFonts w:ascii="Arial Narrow" w:hAnsi="Arial Narrow"/>
                <w:sz w:val="18"/>
                <w:szCs w:val="18"/>
              </w:rPr>
              <w:t>Bagongon</w:t>
            </w:r>
            <w:proofErr w:type="spellEnd"/>
            <w:r w:rsidRPr="00684C10">
              <w:rPr>
                <w:rFonts w:ascii="Arial Narrow" w:hAnsi="Arial Narrow"/>
                <w:sz w:val="18"/>
                <w:szCs w:val="18"/>
              </w:rPr>
              <w:t xml:space="preserve"> </w:t>
            </w:r>
            <w:proofErr w:type="spellStart"/>
            <w:r w:rsidRPr="00684C10">
              <w:rPr>
                <w:rFonts w:ascii="Arial Narrow" w:hAnsi="Arial Narrow"/>
                <w:sz w:val="18"/>
                <w:szCs w:val="18"/>
              </w:rPr>
              <w:t>Fisherfolk</w:t>
            </w:r>
            <w:proofErr w:type="spellEnd"/>
            <w:r w:rsidRPr="00684C10">
              <w:rPr>
                <w:rFonts w:ascii="Arial Narrow" w:hAnsi="Arial Narrow"/>
                <w:sz w:val="18"/>
                <w:szCs w:val="18"/>
              </w:rPr>
              <w:t xml:space="preserve"> Association (BFA).  Le problème à </w:t>
            </w:r>
            <w:proofErr w:type="spellStart"/>
            <w:r w:rsidRPr="00684C10">
              <w:rPr>
                <w:rFonts w:ascii="Arial Narrow" w:hAnsi="Arial Narrow"/>
                <w:sz w:val="18"/>
                <w:szCs w:val="18"/>
              </w:rPr>
              <w:t>Bagongon</w:t>
            </w:r>
            <w:proofErr w:type="spellEnd"/>
            <w:r w:rsidRPr="00684C10">
              <w:rPr>
                <w:rFonts w:ascii="Arial Narrow" w:hAnsi="Arial Narrow"/>
                <w:sz w:val="18"/>
                <w:szCs w:val="18"/>
              </w:rPr>
              <w:t xml:space="preserve"> était la nécessité de faciliter l'accumulation de sédiments afin de fournir un substrat pour la plantation de palétuviers ainsi que de fournir une protection supplémentaire aux ménages et aux écosystèmes exposés aux conditions côtières difficiles pendant les événements météorologiques extrêmes. Comme solutions grises pour renforcer la résilience côtière, huit (8) clôtures d'atténuation des vagues d'une longueur totale de 1 145 mètres, cinq (5) clôtures de piégeage des sédiments d'une longueur de 895 mètres et deux (2) brise-lames perméables à faible crête de 75 mètres ont été installés près de la côte de </w:t>
            </w:r>
            <w:proofErr w:type="spellStart"/>
            <w:r w:rsidRPr="00684C10">
              <w:rPr>
                <w:rFonts w:ascii="Arial Narrow" w:hAnsi="Arial Narrow"/>
                <w:sz w:val="18"/>
                <w:szCs w:val="18"/>
              </w:rPr>
              <w:t>Bagongon</w:t>
            </w:r>
            <w:proofErr w:type="spellEnd"/>
            <w:r w:rsidRPr="00684C10">
              <w:rPr>
                <w:rFonts w:ascii="Arial Narrow" w:hAnsi="Arial Narrow"/>
                <w:sz w:val="18"/>
                <w:szCs w:val="18"/>
              </w:rPr>
              <w:t xml:space="preserve">. Ces structures ont été installées pour briser les vagues et réduire leur énergie, favoriser l'accumulation de sédiments dans la zone de réhabilitation de la mangrove où les semis seront plantés, et fournir une protection côtière supplémentaire aux ménages situés le long de la côte. Ceci a été complété par la solution verte à la vulnérabilité côtière, qui était la réhabilitation et l'enrichissement de onze (11) hectares de zone de mangrove en plantant 110 363 semis. </w:t>
            </w:r>
          </w:p>
          <w:p w14:paraId="5455C690" w14:textId="77777777" w:rsidR="00484661" w:rsidRDefault="00484661" w:rsidP="00684C10">
            <w:pPr>
              <w:jc w:val="both"/>
              <w:rPr>
                <w:rFonts w:ascii="Arial Narrow" w:hAnsi="Arial Narrow"/>
                <w:sz w:val="18"/>
                <w:szCs w:val="18"/>
              </w:rPr>
            </w:pPr>
          </w:p>
          <w:p w14:paraId="7DFD0592" w14:textId="2A9940C0" w:rsidR="00684C10" w:rsidRPr="00684C10" w:rsidRDefault="00684C10" w:rsidP="00684C10">
            <w:pPr>
              <w:jc w:val="both"/>
              <w:rPr>
                <w:rFonts w:ascii="Arial Narrow" w:hAnsi="Arial Narrow"/>
                <w:sz w:val="18"/>
                <w:szCs w:val="18"/>
              </w:rPr>
            </w:pPr>
            <w:r w:rsidRPr="00684C10">
              <w:rPr>
                <w:rFonts w:ascii="Arial Narrow" w:hAnsi="Arial Narrow"/>
                <w:sz w:val="18"/>
                <w:szCs w:val="18"/>
              </w:rPr>
              <w:t xml:space="preserve">L'établissement d'une zone de protection marine communautaire (CB-MPA) de 769,7 hectares a également été soutenu par le projet dans le cadre de la solution verte à </w:t>
            </w:r>
            <w:proofErr w:type="spellStart"/>
            <w:r w:rsidRPr="00684C10">
              <w:rPr>
                <w:rFonts w:ascii="Arial Narrow" w:hAnsi="Arial Narrow"/>
                <w:sz w:val="18"/>
                <w:szCs w:val="18"/>
              </w:rPr>
              <w:t>Bagongon</w:t>
            </w:r>
            <w:proofErr w:type="spellEnd"/>
            <w:r w:rsidRPr="00684C10">
              <w:rPr>
                <w:rFonts w:ascii="Arial Narrow" w:hAnsi="Arial Narrow"/>
                <w:sz w:val="18"/>
                <w:szCs w:val="18"/>
              </w:rPr>
              <w:t xml:space="preserve"> par le biais de : (1) l'examen et la mise à jour du plan de gestion de l'AMP pour 2021-2025 ; (2) la fourniture d'équipements et de fournitures de base pour une application efficace de l'AMP et des patrouilles ; (3) l'installation de bouées de marquage de l'AMP pour délimiter les frontières de l'AMP et de panneaux de signalisation de l'AMP pour accroître la sensibilisation et le soutien ; et (3) la fourniture d'un soutien au renforcement des capacités par des formations et la facilitation de la formulation de plans d'AMP communautaires. </w:t>
            </w:r>
          </w:p>
        </w:tc>
        <w:tc>
          <w:tcPr>
            <w:tcW w:w="4677" w:type="dxa"/>
          </w:tcPr>
          <w:p w14:paraId="6ECBA3A1" w14:textId="0501DAEE" w:rsidR="00684C10" w:rsidRPr="00684C10" w:rsidRDefault="00684C10" w:rsidP="00684C10">
            <w:pPr>
              <w:jc w:val="both"/>
              <w:rPr>
                <w:rFonts w:ascii="Arial Narrow" w:hAnsi="Arial Narrow"/>
                <w:sz w:val="18"/>
                <w:szCs w:val="18"/>
              </w:rPr>
            </w:pPr>
            <w:r w:rsidRPr="00684C10">
              <w:rPr>
                <w:rFonts w:ascii="Arial Narrow" w:hAnsi="Arial Narrow"/>
                <w:sz w:val="18"/>
                <w:szCs w:val="18"/>
              </w:rPr>
              <w:t xml:space="preserve">La production de produits à base de noix de coco tels que le </w:t>
            </w:r>
            <w:proofErr w:type="spellStart"/>
            <w:r w:rsidRPr="00684C10">
              <w:rPr>
                <w:rFonts w:ascii="Arial Narrow" w:hAnsi="Arial Narrow"/>
                <w:sz w:val="18"/>
                <w:szCs w:val="18"/>
              </w:rPr>
              <w:t>geonet</w:t>
            </w:r>
            <w:proofErr w:type="spellEnd"/>
            <w:r w:rsidRPr="00684C10">
              <w:rPr>
                <w:rFonts w:ascii="Arial Narrow" w:hAnsi="Arial Narrow"/>
                <w:sz w:val="18"/>
                <w:szCs w:val="18"/>
              </w:rPr>
              <w:t xml:space="preserve"> de coco et d'autres produits, et la production d'huile de noix de coco vierge (VCO) comme liniment et pommade ont été établis comme projets de subsistance à </w:t>
            </w:r>
            <w:proofErr w:type="spellStart"/>
            <w:r w:rsidRPr="00684C10">
              <w:rPr>
                <w:rFonts w:ascii="Arial Narrow" w:hAnsi="Arial Narrow"/>
                <w:sz w:val="18"/>
                <w:szCs w:val="18"/>
              </w:rPr>
              <w:t>Bagongon</w:t>
            </w:r>
            <w:proofErr w:type="spellEnd"/>
            <w:r w:rsidRPr="00684C10">
              <w:rPr>
                <w:rFonts w:ascii="Arial Narrow" w:hAnsi="Arial Narrow"/>
                <w:sz w:val="18"/>
                <w:szCs w:val="18"/>
              </w:rPr>
              <w:t>. La BFA a reçu des subventions pour l'équipement et les matériaux de base pour la production de coco-coir, la construction d'un centre de traitement à base de coco, des fonds renouvelables pour les opérations de subsistance, le renforcement des capacités techniques et le soutien au mentorat. Des groupes de l'Association d'épargne et de crédit gérée par la communauté (</w:t>
            </w:r>
            <w:proofErr w:type="spellStart"/>
            <w:r w:rsidRPr="00684C10">
              <w:rPr>
                <w:rFonts w:ascii="Arial Narrow" w:hAnsi="Arial Narrow"/>
                <w:sz w:val="18"/>
                <w:szCs w:val="18"/>
              </w:rPr>
              <w:t>CoMSCA</w:t>
            </w:r>
            <w:proofErr w:type="spellEnd"/>
            <w:r w:rsidRPr="00684C10">
              <w:rPr>
                <w:rFonts w:ascii="Arial Narrow" w:hAnsi="Arial Narrow"/>
                <w:sz w:val="18"/>
                <w:szCs w:val="18"/>
              </w:rPr>
              <w:t xml:space="preserve">) ont également été créés à </w:t>
            </w:r>
            <w:proofErr w:type="spellStart"/>
            <w:r w:rsidRPr="00684C10">
              <w:rPr>
                <w:rFonts w:ascii="Arial Narrow" w:hAnsi="Arial Narrow"/>
                <w:sz w:val="18"/>
                <w:szCs w:val="18"/>
              </w:rPr>
              <w:t>Bagongon</w:t>
            </w:r>
            <w:proofErr w:type="spellEnd"/>
            <w:r w:rsidRPr="00684C10">
              <w:rPr>
                <w:rFonts w:ascii="Arial Narrow" w:hAnsi="Arial Narrow"/>
                <w:sz w:val="18"/>
                <w:szCs w:val="18"/>
              </w:rPr>
              <w:t xml:space="preserve"> afin d'encourager la communauté à mettre régulièrement de côté l'épargne provenant des revenus des projets de subsistance et de fournir des facilités d'épargne et de prêt simples aux membres de la communauté pour lesquels l'accès au financement est difficile. Une partie des revenus est mise de côté comme fonds environnemental pour l'entretien de l'infrastructure verte et grise.</w:t>
            </w:r>
          </w:p>
        </w:tc>
      </w:tr>
      <w:tr w:rsidR="00684C10" w:rsidRPr="00684C10" w14:paraId="6362E348" w14:textId="77777777" w:rsidTr="007F6DF7">
        <w:tc>
          <w:tcPr>
            <w:tcW w:w="1129" w:type="dxa"/>
            <w:shd w:val="clear" w:color="auto" w:fill="DEEAF6" w:themeFill="accent5" w:themeFillTint="33"/>
          </w:tcPr>
          <w:p w14:paraId="7163EF24" w14:textId="5B2C0A85" w:rsidR="00684C10" w:rsidRPr="00484661" w:rsidRDefault="00684C10" w:rsidP="00684C10">
            <w:pPr>
              <w:jc w:val="both"/>
              <w:rPr>
                <w:rFonts w:ascii="Arial Narrow" w:hAnsi="Arial Narrow"/>
                <w:b/>
                <w:bCs/>
                <w:sz w:val="18"/>
                <w:szCs w:val="18"/>
              </w:rPr>
            </w:pPr>
            <w:proofErr w:type="spellStart"/>
            <w:r w:rsidRPr="00484661">
              <w:rPr>
                <w:rFonts w:ascii="Arial Narrow" w:hAnsi="Arial Narrow"/>
                <w:b/>
                <w:bCs/>
                <w:sz w:val="18"/>
                <w:szCs w:val="18"/>
              </w:rPr>
              <w:t>Tambaliza</w:t>
            </w:r>
            <w:proofErr w:type="spellEnd"/>
          </w:p>
        </w:tc>
        <w:tc>
          <w:tcPr>
            <w:tcW w:w="9214" w:type="dxa"/>
            <w:shd w:val="clear" w:color="auto" w:fill="DEEAF6" w:themeFill="accent5" w:themeFillTint="33"/>
          </w:tcPr>
          <w:p w14:paraId="12385AA0" w14:textId="77777777" w:rsidR="00684C10" w:rsidRPr="00684C10" w:rsidRDefault="00684C10" w:rsidP="00684C10">
            <w:pPr>
              <w:jc w:val="both"/>
              <w:rPr>
                <w:rFonts w:ascii="Arial Narrow" w:hAnsi="Arial Narrow"/>
                <w:sz w:val="18"/>
                <w:szCs w:val="18"/>
              </w:rPr>
            </w:pPr>
            <w:r w:rsidRPr="00684C10">
              <w:rPr>
                <w:rFonts w:ascii="Arial Narrow" w:hAnsi="Arial Narrow"/>
                <w:sz w:val="18"/>
                <w:szCs w:val="18"/>
              </w:rPr>
              <w:t xml:space="preserve">Le partenaire communautaire pour la mise en œuvre du projet GGI à </w:t>
            </w:r>
            <w:proofErr w:type="spellStart"/>
            <w:r w:rsidRPr="00684C10">
              <w:rPr>
                <w:rFonts w:ascii="Arial Narrow" w:hAnsi="Arial Narrow"/>
                <w:sz w:val="18"/>
                <w:szCs w:val="18"/>
              </w:rPr>
              <w:t>Tambaliza</w:t>
            </w:r>
            <w:proofErr w:type="spellEnd"/>
            <w:r w:rsidRPr="00684C10">
              <w:rPr>
                <w:rFonts w:ascii="Arial Narrow" w:hAnsi="Arial Narrow"/>
                <w:sz w:val="18"/>
                <w:szCs w:val="18"/>
              </w:rPr>
              <w:t xml:space="preserve"> était la </w:t>
            </w:r>
            <w:proofErr w:type="spellStart"/>
            <w:r w:rsidRPr="00684C10">
              <w:rPr>
                <w:rFonts w:ascii="Arial Narrow" w:hAnsi="Arial Narrow"/>
                <w:sz w:val="18"/>
                <w:szCs w:val="18"/>
              </w:rPr>
              <w:t>Tambaliza</w:t>
            </w:r>
            <w:proofErr w:type="spellEnd"/>
            <w:r w:rsidRPr="00684C10">
              <w:rPr>
                <w:rFonts w:ascii="Arial Narrow" w:hAnsi="Arial Narrow"/>
                <w:sz w:val="18"/>
                <w:szCs w:val="18"/>
              </w:rPr>
              <w:t xml:space="preserve"> Small </w:t>
            </w:r>
            <w:proofErr w:type="spellStart"/>
            <w:r w:rsidRPr="00684C10">
              <w:rPr>
                <w:rFonts w:ascii="Arial Narrow" w:hAnsi="Arial Narrow"/>
                <w:sz w:val="18"/>
                <w:szCs w:val="18"/>
              </w:rPr>
              <w:t>Fisherfolk</w:t>
            </w:r>
            <w:proofErr w:type="spellEnd"/>
            <w:r w:rsidRPr="00684C10">
              <w:rPr>
                <w:rFonts w:ascii="Arial Narrow" w:hAnsi="Arial Narrow"/>
                <w:sz w:val="18"/>
                <w:szCs w:val="18"/>
              </w:rPr>
              <w:t xml:space="preserve"> </w:t>
            </w:r>
            <w:proofErr w:type="spellStart"/>
            <w:r w:rsidRPr="00684C10">
              <w:rPr>
                <w:rFonts w:ascii="Arial Narrow" w:hAnsi="Arial Narrow"/>
                <w:sz w:val="18"/>
                <w:szCs w:val="18"/>
              </w:rPr>
              <w:t>Organization</w:t>
            </w:r>
            <w:proofErr w:type="spellEnd"/>
            <w:r w:rsidRPr="00684C10">
              <w:rPr>
                <w:rFonts w:ascii="Arial Narrow" w:hAnsi="Arial Narrow"/>
                <w:sz w:val="18"/>
                <w:szCs w:val="18"/>
              </w:rPr>
              <w:t xml:space="preserve"> (TASFA). La zone de réhabilitation de la mangrove sélectionnée à </w:t>
            </w:r>
            <w:proofErr w:type="spellStart"/>
            <w:r w:rsidRPr="00684C10">
              <w:rPr>
                <w:rFonts w:ascii="Arial Narrow" w:hAnsi="Arial Narrow"/>
                <w:sz w:val="18"/>
                <w:szCs w:val="18"/>
              </w:rPr>
              <w:t>Tambaliza</w:t>
            </w:r>
            <w:proofErr w:type="spellEnd"/>
            <w:r w:rsidRPr="00684C10">
              <w:rPr>
                <w:rFonts w:ascii="Arial Narrow" w:hAnsi="Arial Narrow"/>
                <w:sz w:val="18"/>
                <w:szCs w:val="18"/>
              </w:rPr>
              <w:t xml:space="preserve"> était les étangs de pêche abandonnés où quelques mangroves avaient poussé. Mais le problème était que le flux d'eau entre l'océan et cette zone de réhabilitation de la mangrove était entravé par l'ancienne berme des étangs à poissons et la passerelle en béton de 54 mètres avec une seule ouverture de ponceau qui traversait les peuplements de mangrove. Pour les solutions grises visant à accroître la résilience de l'écosystème de mangrove et des communautés côtières, la berme du côté de la mer a été supprimée et quatre boîtes de ponceaux ont été installées dans la passerelle. Ces solutions grises ont permis d'établir les connexions hydrologiques entre l'océan et les étangs à poissons abandonnés, qui sont essentielles à la survie des peuplements de mangrove existants dans cette zone de réhabilitation et des semis de mangrove qui seront plantés dans le cadre du projet GGI. </w:t>
            </w:r>
          </w:p>
          <w:p w14:paraId="16F96419" w14:textId="77777777" w:rsidR="00684C10" w:rsidRPr="00684C10" w:rsidRDefault="00684C10" w:rsidP="00684C10">
            <w:pPr>
              <w:jc w:val="both"/>
              <w:rPr>
                <w:rFonts w:ascii="Arial Narrow" w:hAnsi="Arial Narrow"/>
                <w:sz w:val="18"/>
                <w:szCs w:val="18"/>
              </w:rPr>
            </w:pPr>
          </w:p>
          <w:p w14:paraId="21DA2241" w14:textId="7881E0DB" w:rsidR="00684C10" w:rsidRPr="00684C10" w:rsidRDefault="00684C10" w:rsidP="00684C10">
            <w:pPr>
              <w:jc w:val="both"/>
              <w:rPr>
                <w:rFonts w:ascii="Arial Narrow" w:hAnsi="Arial Narrow"/>
                <w:sz w:val="18"/>
                <w:szCs w:val="18"/>
              </w:rPr>
            </w:pPr>
            <w:r w:rsidRPr="00684C10">
              <w:rPr>
                <w:rFonts w:ascii="Arial Narrow" w:hAnsi="Arial Narrow"/>
                <w:sz w:val="18"/>
                <w:szCs w:val="18"/>
              </w:rPr>
              <w:t xml:space="preserve">Les solutions grises de </w:t>
            </w:r>
            <w:proofErr w:type="spellStart"/>
            <w:r w:rsidRPr="00684C10">
              <w:rPr>
                <w:rFonts w:ascii="Arial Narrow" w:hAnsi="Arial Narrow"/>
                <w:sz w:val="18"/>
                <w:szCs w:val="18"/>
              </w:rPr>
              <w:t>Tambaliza</w:t>
            </w:r>
            <w:proofErr w:type="spellEnd"/>
            <w:r w:rsidRPr="00684C10">
              <w:rPr>
                <w:rFonts w:ascii="Arial Narrow" w:hAnsi="Arial Narrow"/>
                <w:sz w:val="18"/>
                <w:szCs w:val="18"/>
              </w:rPr>
              <w:t xml:space="preserve"> ont été complétées par la plantation de mangroves dans une zone de réhabilitation de 2 hectares à </w:t>
            </w:r>
            <w:proofErr w:type="spellStart"/>
            <w:r w:rsidRPr="00684C10">
              <w:rPr>
                <w:rFonts w:ascii="Arial Narrow" w:hAnsi="Arial Narrow"/>
                <w:sz w:val="18"/>
                <w:szCs w:val="18"/>
              </w:rPr>
              <w:t>Sitio</w:t>
            </w:r>
            <w:proofErr w:type="spellEnd"/>
            <w:r w:rsidRPr="00684C10">
              <w:rPr>
                <w:rFonts w:ascii="Arial Narrow" w:hAnsi="Arial Narrow"/>
                <w:sz w:val="18"/>
                <w:szCs w:val="18"/>
              </w:rPr>
              <w:t xml:space="preserve"> </w:t>
            </w:r>
            <w:proofErr w:type="spellStart"/>
            <w:r w:rsidRPr="00684C10">
              <w:rPr>
                <w:rFonts w:ascii="Arial Narrow" w:hAnsi="Arial Narrow"/>
                <w:sz w:val="18"/>
                <w:szCs w:val="18"/>
              </w:rPr>
              <w:t>Punting</w:t>
            </w:r>
            <w:proofErr w:type="spellEnd"/>
            <w:r w:rsidRPr="00684C10">
              <w:rPr>
                <w:rFonts w:ascii="Arial Narrow" w:hAnsi="Arial Narrow"/>
                <w:sz w:val="18"/>
                <w:szCs w:val="18"/>
              </w:rPr>
              <w:t xml:space="preserve">, où 36 000 plants ont été utilisés. Les mangroves plantées étaient destinées à servir de tampon naturel et à réduire l'impact des fortes vagues de vent et des ondes de tempête.  Une autre solution écologique a été la restauration du parc écologique de mangrove de 17 hectares à </w:t>
            </w:r>
            <w:proofErr w:type="spellStart"/>
            <w:r w:rsidRPr="00684C10">
              <w:rPr>
                <w:rFonts w:ascii="Arial Narrow" w:hAnsi="Arial Narrow"/>
                <w:sz w:val="18"/>
                <w:szCs w:val="18"/>
              </w:rPr>
              <w:t>Sitio</w:t>
            </w:r>
            <w:proofErr w:type="spellEnd"/>
            <w:r w:rsidRPr="00684C10">
              <w:rPr>
                <w:rFonts w:ascii="Arial Narrow" w:hAnsi="Arial Narrow"/>
                <w:sz w:val="18"/>
                <w:szCs w:val="18"/>
              </w:rPr>
              <w:t xml:space="preserve"> Banban pour assurer la protection des mangroves existantes. Cela fait partie de l'initiative d'écotourisme communautaire que la TASFA et le gouvernement du Barangay de </w:t>
            </w:r>
            <w:proofErr w:type="spellStart"/>
            <w:r w:rsidRPr="00684C10">
              <w:rPr>
                <w:rFonts w:ascii="Arial Narrow" w:hAnsi="Arial Narrow"/>
                <w:sz w:val="18"/>
                <w:szCs w:val="18"/>
              </w:rPr>
              <w:t>Tambaliza</w:t>
            </w:r>
            <w:proofErr w:type="spellEnd"/>
            <w:r w:rsidRPr="00684C10">
              <w:rPr>
                <w:rFonts w:ascii="Arial Narrow" w:hAnsi="Arial Narrow"/>
                <w:sz w:val="18"/>
                <w:szCs w:val="18"/>
              </w:rPr>
              <w:t xml:space="preserve"> ont envisagé pour </w:t>
            </w:r>
            <w:proofErr w:type="spellStart"/>
            <w:r w:rsidRPr="00684C10">
              <w:rPr>
                <w:rFonts w:ascii="Arial Narrow" w:hAnsi="Arial Narrow"/>
                <w:sz w:val="18"/>
                <w:szCs w:val="18"/>
              </w:rPr>
              <w:t>Tambaliza</w:t>
            </w:r>
            <w:proofErr w:type="spellEnd"/>
            <w:r w:rsidRPr="00684C10">
              <w:rPr>
                <w:rFonts w:ascii="Arial Narrow" w:hAnsi="Arial Narrow"/>
                <w:sz w:val="18"/>
                <w:szCs w:val="18"/>
              </w:rPr>
              <w:t xml:space="preserve">.  Dans le cadre des initiatives de l'écoparc, TASFA a également établi deux (2) pépinières de palétuviers à </w:t>
            </w:r>
            <w:proofErr w:type="spellStart"/>
            <w:r w:rsidRPr="00684C10">
              <w:rPr>
                <w:rFonts w:ascii="Arial Narrow" w:hAnsi="Arial Narrow"/>
                <w:sz w:val="18"/>
                <w:szCs w:val="18"/>
              </w:rPr>
              <w:t>Sitio</w:t>
            </w:r>
            <w:proofErr w:type="spellEnd"/>
            <w:r w:rsidRPr="00684C10">
              <w:rPr>
                <w:rFonts w:ascii="Arial Narrow" w:hAnsi="Arial Narrow"/>
                <w:sz w:val="18"/>
                <w:szCs w:val="18"/>
              </w:rPr>
              <w:t xml:space="preserve"> Banban afin d'assurer une source fiable de plants de palétuviers pour la plantation d'enrichissement par les touristes dans l'écoparc et la plantation de remplacement dans la zone de réhabilitation de la mangrove de </w:t>
            </w:r>
            <w:proofErr w:type="spellStart"/>
            <w:r w:rsidRPr="00684C10">
              <w:rPr>
                <w:rFonts w:ascii="Arial Narrow" w:hAnsi="Arial Narrow"/>
                <w:sz w:val="18"/>
                <w:szCs w:val="18"/>
              </w:rPr>
              <w:t>Sitio</w:t>
            </w:r>
            <w:proofErr w:type="spellEnd"/>
            <w:r w:rsidRPr="00684C10">
              <w:rPr>
                <w:rFonts w:ascii="Arial Narrow" w:hAnsi="Arial Narrow"/>
                <w:sz w:val="18"/>
                <w:szCs w:val="18"/>
              </w:rPr>
              <w:t xml:space="preserve"> </w:t>
            </w:r>
            <w:proofErr w:type="spellStart"/>
            <w:r w:rsidRPr="00684C10">
              <w:rPr>
                <w:rFonts w:ascii="Arial Narrow" w:hAnsi="Arial Narrow"/>
                <w:sz w:val="18"/>
                <w:szCs w:val="18"/>
              </w:rPr>
              <w:t>Punting</w:t>
            </w:r>
            <w:proofErr w:type="spellEnd"/>
          </w:p>
        </w:tc>
        <w:tc>
          <w:tcPr>
            <w:tcW w:w="4677" w:type="dxa"/>
            <w:shd w:val="clear" w:color="auto" w:fill="DEEAF6" w:themeFill="accent5" w:themeFillTint="33"/>
          </w:tcPr>
          <w:p w14:paraId="4DC1D8EE" w14:textId="77777777" w:rsidR="00684C10" w:rsidRPr="00484661" w:rsidRDefault="00684C10" w:rsidP="00484661">
            <w:pPr>
              <w:jc w:val="both"/>
              <w:rPr>
                <w:rFonts w:ascii="Arial Narrow" w:hAnsi="Arial Narrow"/>
                <w:sz w:val="18"/>
                <w:szCs w:val="18"/>
              </w:rPr>
            </w:pPr>
            <w:r w:rsidRPr="00484661">
              <w:rPr>
                <w:rFonts w:ascii="Arial Narrow" w:hAnsi="Arial Narrow"/>
                <w:sz w:val="18"/>
                <w:szCs w:val="18"/>
              </w:rPr>
              <w:t xml:space="preserve">Deux (2) projets de subsistance ont été mis en place à </w:t>
            </w:r>
            <w:proofErr w:type="spellStart"/>
            <w:r w:rsidRPr="00484661">
              <w:rPr>
                <w:rFonts w:ascii="Arial Narrow" w:hAnsi="Arial Narrow"/>
                <w:sz w:val="18"/>
                <w:szCs w:val="18"/>
              </w:rPr>
              <w:t>Tambaliza</w:t>
            </w:r>
            <w:proofErr w:type="spellEnd"/>
            <w:r w:rsidRPr="00484661">
              <w:rPr>
                <w:rFonts w:ascii="Arial Narrow" w:hAnsi="Arial Narrow"/>
                <w:sz w:val="18"/>
                <w:szCs w:val="18"/>
              </w:rPr>
              <w:t xml:space="preserve"> - le système d'agriculture naturelle (NFS) pour la production de légumes à </w:t>
            </w:r>
            <w:proofErr w:type="spellStart"/>
            <w:r w:rsidRPr="00484661">
              <w:rPr>
                <w:rFonts w:ascii="Arial Narrow" w:hAnsi="Arial Narrow"/>
                <w:sz w:val="18"/>
                <w:szCs w:val="18"/>
              </w:rPr>
              <w:t>Sitio</w:t>
            </w:r>
            <w:proofErr w:type="spellEnd"/>
            <w:r w:rsidRPr="00484661">
              <w:rPr>
                <w:rFonts w:ascii="Arial Narrow" w:hAnsi="Arial Narrow"/>
                <w:sz w:val="18"/>
                <w:szCs w:val="18"/>
              </w:rPr>
              <w:t xml:space="preserve"> </w:t>
            </w:r>
            <w:proofErr w:type="spellStart"/>
            <w:r w:rsidRPr="00484661">
              <w:rPr>
                <w:rFonts w:ascii="Arial Narrow" w:hAnsi="Arial Narrow"/>
                <w:sz w:val="18"/>
                <w:szCs w:val="18"/>
              </w:rPr>
              <w:t>Punting</w:t>
            </w:r>
            <w:proofErr w:type="spellEnd"/>
            <w:r w:rsidRPr="00484661">
              <w:rPr>
                <w:rFonts w:ascii="Arial Narrow" w:hAnsi="Arial Narrow"/>
                <w:sz w:val="18"/>
                <w:szCs w:val="18"/>
              </w:rPr>
              <w:t xml:space="preserve">, et la mise en place d'un écotourisme communautaire dans la mangrove avec une promenade dans l'écoparc de la mangrove situé à </w:t>
            </w:r>
            <w:proofErr w:type="spellStart"/>
            <w:r w:rsidRPr="00484661">
              <w:rPr>
                <w:rFonts w:ascii="Arial Narrow" w:hAnsi="Arial Narrow"/>
                <w:sz w:val="18"/>
                <w:szCs w:val="18"/>
              </w:rPr>
              <w:t>Sitio</w:t>
            </w:r>
            <w:proofErr w:type="spellEnd"/>
            <w:r w:rsidRPr="00484661">
              <w:rPr>
                <w:rFonts w:ascii="Arial Narrow" w:hAnsi="Arial Narrow"/>
                <w:sz w:val="18"/>
                <w:szCs w:val="18"/>
              </w:rPr>
              <w:t xml:space="preserve"> Banban. La TASFA a reçu des fournitures et des matériaux de base nécessaires à l'agriculture naturelle, à la construction d'une promenade de mangrove et à l'aménagement de la zone d'exposition, ainsi que des fonds renouvelables pour les opérations de subsistance, le renforcement des capacités techniques et le soutien à l'encadrement.  </w:t>
            </w:r>
          </w:p>
          <w:p w14:paraId="4860D9ED" w14:textId="77777777" w:rsidR="00684C10" w:rsidRPr="00684C10" w:rsidRDefault="00684C10" w:rsidP="00684C10">
            <w:pPr>
              <w:jc w:val="both"/>
              <w:rPr>
                <w:rFonts w:ascii="Arial Narrow" w:hAnsi="Arial Narrow"/>
                <w:sz w:val="18"/>
                <w:szCs w:val="18"/>
              </w:rPr>
            </w:pPr>
          </w:p>
        </w:tc>
      </w:tr>
    </w:tbl>
    <w:p w14:paraId="168E1B1B" w14:textId="77777777" w:rsidR="00484661" w:rsidRDefault="00484661">
      <w:r>
        <w:br w:type="page"/>
      </w:r>
    </w:p>
    <w:tbl>
      <w:tblPr>
        <w:tblStyle w:val="TableauGrille1Clair-Accentuation5"/>
        <w:tblW w:w="15162" w:type="dxa"/>
        <w:tblLook w:val="04A0" w:firstRow="1" w:lastRow="0" w:firstColumn="1" w:lastColumn="0" w:noHBand="0" w:noVBand="1"/>
      </w:tblPr>
      <w:tblGrid>
        <w:gridCol w:w="2265"/>
        <w:gridCol w:w="8220"/>
        <w:gridCol w:w="4677"/>
      </w:tblGrid>
      <w:tr w:rsidR="00684C10" w:rsidRPr="00684C10" w14:paraId="712CAE10" w14:textId="77777777" w:rsidTr="007F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3B63332" w14:textId="7FD12BE6" w:rsidR="00684C10" w:rsidRPr="00C40BE7" w:rsidRDefault="00684C10" w:rsidP="00684C10">
            <w:pPr>
              <w:jc w:val="both"/>
              <w:rPr>
                <w:rFonts w:ascii="Arial Narrow" w:hAnsi="Arial Narrow"/>
                <w:sz w:val="18"/>
                <w:szCs w:val="18"/>
              </w:rPr>
            </w:pPr>
            <w:proofErr w:type="spellStart"/>
            <w:r w:rsidRPr="00C40BE7">
              <w:rPr>
                <w:rFonts w:ascii="Arial Narrow" w:hAnsi="Arial Narrow"/>
                <w:sz w:val="18"/>
                <w:szCs w:val="18"/>
              </w:rPr>
              <w:lastRenderedPageBreak/>
              <w:t>Loong</w:t>
            </w:r>
            <w:proofErr w:type="spellEnd"/>
          </w:p>
        </w:tc>
        <w:tc>
          <w:tcPr>
            <w:tcW w:w="8220" w:type="dxa"/>
          </w:tcPr>
          <w:p w14:paraId="5FD6F089" w14:textId="382881A1" w:rsidR="00684C10" w:rsidRPr="00C40BE7" w:rsidRDefault="00684C10" w:rsidP="00684C10">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C40BE7">
              <w:rPr>
                <w:rFonts w:ascii="Arial Narrow" w:hAnsi="Arial Narrow"/>
                <w:b w:val="0"/>
                <w:bCs w:val="0"/>
                <w:sz w:val="18"/>
                <w:szCs w:val="18"/>
              </w:rPr>
              <w:t xml:space="preserve">À </w:t>
            </w:r>
            <w:proofErr w:type="spellStart"/>
            <w:r w:rsidRPr="00C40BE7">
              <w:rPr>
                <w:rFonts w:ascii="Arial Narrow" w:hAnsi="Arial Narrow"/>
                <w:b w:val="0"/>
                <w:bCs w:val="0"/>
                <w:sz w:val="18"/>
                <w:szCs w:val="18"/>
              </w:rPr>
              <w:t>Loong</w:t>
            </w:r>
            <w:proofErr w:type="spellEnd"/>
            <w:r w:rsidRPr="00C40BE7">
              <w:rPr>
                <w:rFonts w:ascii="Arial Narrow" w:hAnsi="Arial Narrow"/>
                <w:b w:val="0"/>
                <w:bCs w:val="0"/>
                <w:sz w:val="18"/>
                <w:szCs w:val="18"/>
              </w:rPr>
              <w:t xml:space="preserve">, le projet GGI a été mis en œuvre avec l'association </w:t>
            </w:r>
            <w:proofErr w:type="spellStart"/>
            <w:r w:rsidRPr="00C40BE7">
              <w:rPr>
                <w:rFonts w:ascii="Arial Narrow" w:hAnsi="Arial Narrow"/>
                <w:b w:val="0"/>
                <w:bCs w:val="0"/>
                <w:sz w:val="18"/>
                <w:szCs w:val="18"/>
              </w:rPr>
              <w:t>Baskal</w:t>
            </w:r>
            <w:proofErr w:type="spellEnd"/>
            <w:r w:rsidRPr="00C40BE7">
              <w:rPr>
                <w:rFonts w:ascii="Arial Narrow" w:hAnsi="Arial Narrow"/>
                <w:b w:val="0"/>
                <w:bCs w:val="0"/>
                <w:sz w:val="18"/>
                <w:szCs w:val="18"/>
              </w:rPr>
              <w:t xml:space="preserve"> </w:t>
            </w:r>
            <w:proofErr w:type="spellStart"/>
            <w:r w:rsidRPr="00C40BE7">
              <w:rPr>
                <w:rFonts w:ascii="Arial Narrow" w:hAnsi="Arial Narrow"/>
                <w:b w:val="0"/>
                <w:bCs w:val="0"/>
                <w:sz w:val="18"/>
                <w:szCs w:val="18"/>
              </w:rPr>
              <w:t>Operators</w:t>
            </w:r>
            <w:proofErr w:type="spellEnd"/>
            <w:r w:rsidRPr="00C40BE7">
              <w:rPr>
                <w:rFonts w:ascii="Arial Narrow" w:hAnsi="Arial Narrow"/>
                <w:b w:val="0"/>
                <w:bCs w:val="0"/>
                <w:sz w:val="18"/>
                <w:szCs w:val="18"/>
              </w:rPr>
              <w:t xml:space="preserve"> of </w:t>
            </w:r>
            <w:proofErr w:type="spellStart"/>
            <w:r w:rsidRPr="00C40BE7">
              <w:rPr>
                <w:rFonts w:ascii="Arial Narrow" w:hAnsi="Arial Narrow"/>
                <w:b w:val="0"/>
                <w:bCs w:val="0"/>
                <w:sz w:val="18"/>
                <w:szCs w:val="18"/>
              </w:rPr>
              <w:t>Loong</w:t>
            </w:r>
            <w:proofErr w:type="spellEnd"/>
            <w:r w:rsidRPr="00C40BE7">
              <w:rPr>
                <w:rFonts w:ascii="Arial Narrow" w:hAnsi="Arial Narrow"/>
                <w:b w:val="0"/>
                <w:bCs w:val="0"/>
                <w:sz w:val="18"/>
                <w:szCs w:val="18"/>
              </w:rPr>
              <w:t xml:space="preserve"> (BOLA), qui a engagé certains membres d'une autre organisation communautaire, la </w:t>
            </w:r>
            <w:proofErr w:type="spellStart"/>
            <w:r w:rsidRPr="00C40BE7">
              <w:rPr>
                <w:rFonts w:ascii="Arial Narrow" w:hAnsi="Arial Narrow"/>
                <w:b w:val="0"/>
                <w:bCs w:val="0"/>
                <w:sz w:val="18"/>
                <w:szCs w:val="18"/>
              </w:rPr>
              <w:t>Kusog</w:t>
            </w:r>
            <w:proofErr w:type="spellEnd"/>
            <w:r w:rsidRPr="00C40BE7">
              <w:rPr>
                <w:rFonts w:ascii="Arial Narrow" w:hAnsi="Arial Narrow"/>
                <w:b w:val="0"/>
                <w:bCs w:val="0"/>
                <w:sz w:val="18"/>
                <w:szCs w:val="18"/>
              </w:rPr>
              <w:t xml:space="preserve"> Sang </w:t>
            </w:r>
            <w:proofErr w:type="spellStart"/>
            <w:r w:rsidRPr="00C40BE7">
              <w:rPr>
                <w:rFonts w:ascii="Arial Narrow" w:hAnsi="Arial Narrow"/>
                <w:b w:val="0"/>
                <w:bCs w:val="0"/>
                <w:sz w:val="18"/>
                <w:szCs w:val="18"/>
              </w:rPr>
              <w:t>Mangingisda</w:t>
            </w:r>
            <w:proofErr w:type="spellEnd"/>
            <w:r w:rsidRPr="00C40BE7">
              <w:rPr>
                <w:rFonts w:ascii="Arial Narrow" w:hAnsi="Arial Narrow"/>
                <w:b w:val="0"/>
                <w:bCs w:val="0"/>
                <w:sz w:val="18"/>
                <w:szCs w:val="18"/>
              </w:rPr>
              <w:t xml:space="preserve"> sa </w:t>
            </w:r>
            <w:proofErr w:type="spellStart"/>
            <w:r w:rsidRPr="00C40BE7">
              <w:rPr>
                <w:rFonts w:ascii="Arial Narrow" w:hAnsi="Arial Narrow"/>
                <w:b w:val="0"/>
                <w:bCs w:val="0"/>
                <w:sz w:val="18"/>
                <w:szCs w:val="18"/>
              </w:rPr>
              <w:t>Loong</w:t>
            </w:r>
            <w:proofErr w:type="spellEnd"/>
            <w:r w:rsidRPr="00C40BE7">
              <w:rPr>
                <w:rFonts w:ascii="Arial Narrow" w:hAnsi="Arial Narrow"/>
                <w:b w:val="0"/>
                <w:bCs w:val="0"/>
                <w:sz w:val="18"/>
                <w:szCs w:val="18"/>
              </w:rPr>
              <w:t xml:space="preserve"> (KUMALO), dans certaines entreprises. </w:t>
            </w:r>
            <w:proofErr w:type="spellStart"/>
            <w:r w:rsidRPr="00C40BE7">
              <w:rPr>
                <w:rFonts w:ascii="Arial Narrow" w:hAnsi="Arial Narrow"/>
                <w:b w:val="0"/>
                <w:bCs w:val="0"/>
                <w:sz w:val="18"/>
                <w:szCs w:val="18"/>
              </w:rPr>
              <w:t>Loong</w:t>
            </w:r>
            <w:proofErr w:type="spellEnd"/>
            <w:r w:rsidRPr="00C40BE7">
              <w:rPr>
                <w:rFonts w:ascii="Arial Narrow" w:hAnsi="Arial Narrow"/>
                <w:b w:val="0"/>
                <w:bCs w:val="0"/>
                <w:sz w:val="18"/>
                <w:szCs w:val="18"/>
              </w:rPr>
              <w:t xml:space="preserve"> ne compte plus que quelques peuplements de mangroves et ceux-ci, ainsi que les ménages et les moyens de subsistance, sont exposés aux risques côtiers. En tant que solutions grises pour renforcer la résilience côtière face au changement climatique et aux risques de catastrophe, des brise-lames vivants perméables ont été installés sur deux sites à </w:t>
            </w:r>
            <w:proofErr w:type="spellStart"/>
            <w:r w:rsidRPr="00C40BE7">
              <w:rPr>
                <w:rFonts w:ascii="Arial Narrow" w:hAnsi="Arial Narrow"/>
                <w:b w:val="0"/>
                <w:bCs w:val="0"/>
                <w:sz w:val="18"/>
                <w:szCs w:val="18"/>
              </w:rPr>
              <w:t>Loong</w:t>
            </w:r>
            <w:proofErr w:type="spellEnd"/>
            <w:r w:rsidRPr="00C40BE7">
              <w:rPr>
                <w:rFonts w:ascii="Arial Narrow" w:hAnsi="Arial Narrow"/>
                <w:b w:val="0"/>
                <w:bCs w:val="0"/>
                <w:sz w:val="18"/>
                <w:szCs w:val="18"/>
              </w:rPr>
              <w:t xml:space="preserve"> - 100 mètres pour </w:t>
            </w:r>
            <w:proofErr w:type="spellStart"/>
            <w:r w:rsidRPr="00C40BE7">
              <w:rPr>
                <w:rFonts w:ascii="Arial Narrow" w:hAnsi="Arial Narrow"/>
                <w:b w:val="0"/>
                <w:bCs w:val="0"/>
                <w:sz w:val="18"/>
                <w:szCs w:val="18"/>
              </w:rPr>
              <w:t>Purok</w:t>
            </w:r>
            <w:proofErr w:type="spellEnd"/>
            <w:r w:rsidRPr="00C40BE7">
              <w:rPr>
                <w:rFonts w:ascii="Arial Narrow" w:hAnsi="Arial Narrow"/>
                <w:b w:val="0"/>
                <w:bCs w:val="0"/>
                <w:sz w:val="18"/>
                <w:szCs w:val="18"/>
              </w:rPr>
              <w:t xml:space="preserve"> </w:t>
            </w:r>
            <w:proofErr w:type="spellStart"/>
            <w:r w:rsidRPr="00C40BE7">
              <w:rPr>
                <w:rFonts w:ascii="Arial Narrow" w:hAnsi="Arial Narrow"/>
                <w:b w:val="0"/>
                <w:bCs w:val="0"/>
                <w:sz w:val="18"/>
                <w:szCs w:val="18"/>
              </w:rPr>
              <w:t>Malipayon</w:t>
            </w:r>
            <w:proofErr w:type="spellEnd"/>
            <w:r w:rsidRPr="00C40BE7">
              <w:rPr>
                <w:rFonts w:ascii="Arial Narrow" w:hAnsi="Arial Narrow"/>
                <w:b w:val="0"/>
                <w:bCs w:val="0"/>
                <w:sz w:val="18"/>
                <w:szCs w:val="18"/>
              </w:rPr>
              <w:t xml:space="preserve"> (site 1) et 80 mètres pour </w:t>
            </w:r>
            <w:proofErr w:type="spellStart"/>
            <w:r w:rsidRPr="00C40BE7">
              <w:rPr>
                <w:rFonts w:ascii="Arial Narrow" w:hAnsi="Arial Narrow"/>
                <w:b w:val="0"/>
                <w:bCs w:val="0"/>
                <w:sz w:val="18"/>
                <w:szCs w:val="18"/>
              </w:rPr>
              <w:t>Purok</w:t>
            </w:r>
            <w:proofErr w:type="spellEnd"/>
            <w:r w:rsidRPr="00C40BE7">
              <w:rPr>
                <w:rFonts w:ascii="Arial Narrow" w:hAnsi="Arial Narrow"/>
                <w:b w:val="0"/>
                <w:bCs w:val="0"/>
                <w:sz w:val="18"/>
                <w:szCs w:val="18"/>
              </w:rPr>
              <w:t xml:space="preserve"> </w:t>
            </w:r>
            <w:proofErr w:type="spellStart"/>
            <w:r w:rsidRPr="00C40BE7">
              <w:rPr>
                <w:rFonts w:ascii="Arial Narrow" w:hAnsi="Arial Narrow"/>
                <w:b w:val="0"/>
                <w:bCs w:val="0"/>
                <w:sz w:val="18"/>
                <w:szCs w:val="18"/>
              </w:rPr>
              <w:t>Mabinuligon</w:t>
            </w:r>
            <w:proofErr w:type="spellEnd"/>
            <w:r w:rsidRPr="00C40BE7">
              <w:rPr>
                <w:rFonts w:ascii="Arial Narrow" w:hAnsi="Arial Narrow"/>
                <w:b w:val="0"/>
                <w:bCs w:val="0"/>
                <w:sz w:val="18"/>
                <w:szCs w:val="18"/>
              </w:rPr>
              <w:t xml:space="preserve"> (site 2). Les brise-lames étaient destinés à faciliter l'accumulation de sédiments afin de favoriser la plantation de mangroves et la réhabilitation des zones de mangroves dégradées. Ils ont également été installés pour fournir à la communauté de la nourriture et des moyens de subsistance à partir de la collecte et de la vente d'huîtres locales qui ont colonisé les brise-lames. Ces mesures ont été complétées par la solution verte, à savoir la réhabilitation de 2 hectares de mangrove dégradée par la plantation de 20 000 plants. L'établissement d'une zone de protection marine communautaire (CB-MPA) de 147,3 hectares faisait également partie de la solution verte et le soutien du projet GGI a pris les formes suivantes : (1) examen et mise à jour du plan de gestion de la ZMP pour 2021-2025 ; (2) fourniture d'équipements et de fournitures de base pour une application efficace de la ZMP et des patrouilles ; (3) installation de bouées de marquage de la ZMP pour délimiter les frontières de la ZMP et de panneaux de signalisation de la ZMP pour accroître la sensibilisation et le soutien ; et (3) fourniture d'un soutien au renforcement des capacités par le biais de formations et de facilitation de la formulation de plans de ZMP communautaires. </w:t>
            </w:r>
          </w:p>
        </w:tc>
        <w:tc>
          <w:tcPr>
            <w:tcW w:w="4677" w:type="dxa"/>
          </w:tcPr>
          <w:p w14:paraId="31D23219" w14:textId="77777777" w:rsidR="00484661" w:rsidRPr="00C40BE7" w:rsidRDefault="00484661" w:rsidP="00484661">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C40BE7">
              <w:rPr>
                <w:rFonts w:ascii="Arial Narrow" w:hAnsi="Arial Narrow"/>
                <w:b w:val="0"/>
                <w:bCs w:val="0"/>
                <w:sz w:val="18"/>
                <w:szCs w:val="18"/>
              </w:rPr>
              <w:t xml:space="preserve">Un moyen de subsistance basé sur la transformation des calmars et la production de produits à base de calmars, tels que les calmars séchés et les calmars en bouteille dans différentes bases et saveurs, a été créé à </w:t>
            </w:r>
            <w:proofErr w:type="spellStart"/>
            <w:r w:rsidRPr="00C40BE7">
              <w:rPr>
                <w:rFonts w:ascii="Arial Narrow" w:hAnsi="Arial Narrow"/>
                <w:b w:val="0"/>
                <w:bCs w:val="0"/>
                <w:sz w:val="18"/>
                <w:szCs w:val="18"/>
              </w:rPr>
              <w:t>Loong</w:t>
            </w:r>
            <w:proofErr w:type="spellEnd"/>
            <w:r w:rsidRPr="00C40BE7">
              <w:rPr>
                <w:rFonts w:ascii="Arial Narrow" w:hAnsi="Arial Narrow"/>
                <w:b w:val="0"/>
                <w:bCs w:val="0"/>
                <w:sz w:val="18"/>
                <w:szCs w:val="18"/>
              </w:rPr>
              <w:t xml:space="preserve">.  Des équipements et des matières premières, le réaménagement du centre communautaire de débarquement des poissons pour en faire une installation de traitement des produits à base de calmar, un capital renouvelable, un renforcement des capacités techniques et un soutien à l'encadrement ont été fournis à BOLA. </w:t>
            </w:r>
          </w:p>
          <w:p w14:paraId="53D69CC6" w14:textId="77777777" w:rsidR="00684C10" w:rsidRPr="00C40BE7" w:rsidRDefault="00684C10" w:rsidP="00684C10">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p>
        </w:tc>
      </w:tr>
      <w:tr w:rsidR="00684C10" w:rsidRPr="00684C10" w14:paraId="7C26E7AF" w14:textId="77777777" w:rsidTr="007F6DF7">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5" w:themeFillTint="33"/>
          </w:tcPr>
          <w:p w14:paraId="5A1EA202" w14:textId="59D40FA9" w:rsidR="00684C10" w:rsidRPr="00C40BE7" w:rsidRDefault="00684C10" w:rsidP="00684C10">
            <w:pPr>
              <w:jc w:val="both"/>
              <w:rPr>
                <w:rFonts w:ascii="Arial Narrow" w:hAnsi="Arial Narrow"/>
                <w:sz w:val="18"/>
                <w:szCs w:val="18"/>
              </w:rPr>
            </w:pPr>
            <w:proofErr w:type="spellStart"/>
            <w:r w:rsidRPr="00C40BE7">
              <w:rPr>
                <w:rFonts w:ascii="Arial Narrow" w:hAnsi="Arial Narrow"/>
                <w:sz w:val="18"/>
                <w:szCs w:val="18"/>
              </w:rPr>
              <w:t>Bacjawan</w:t>
            </w:r>
            <w:proofErr w:type="spellEnd"/>
            <w:r w:rsidRPr="00C40BE7">
              <w:rPr>
                <w:rFonts w:ascii="Arial Narrow" w:hAnsi="Arial Narrow"/>
                <w:sz w:val="18"/>
                <w:szCs w:val="18"/>
              </w:rPr>
              <w:t xml:space="preserve"> Norte</w:t>
            </w:r>
          </w:p>
        </w:tc>
        <w:tc>
          <w:tcPr>
            <w:tcW w:w="8220" w:type="dxa"/>
            <w:shd w:val="clear" w:color="auto" w:fill="DEEAF6" w:themeFill="accent5" w:themeFillTint="33"/>
          </w:tcPr>
          <w:p w14:paraId="643A0CDA" w14:textId="6814AD0E" w:rsidR="00684C10" w:rsidRPr="00684C10" w:rsidRDefault="00684C10" w:rsidP="00684C1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4C10">
              <w:rPr>
                <w:rFonts w:ascii="Arial Narrow" w:hAnsi="Arial Narrow"/>
                <w:sz w:val="18"/>
                <w:szCs w:val="18"/>
              </w:rPr>
              <w:t xml:space="preserve">Le projet GGI à </w:t>
            </w:r>
            <w:proofErr w:type="spellStart"/>
            <w:r w:rsidRPr="00684C10">
              <w:rPr>
                <w:rFonts w:ascii="Arial Narrow" w:hAnsi="Arial Narrow"/>
                <w:sz w:val="18"/>
                <w:szCs w:val="18"/>
              </w:rPr>
              <w:t>Bacjawan</w:t>
            </w:r>
            <w:proofErr w:type="spellEnd"/>
            <w:r w:rsidRPr="00684C10">
              <w:rPr>
                <w:rFonts w:ascii="Arial Narrow" w:hAnsi="Arial Narrow"/>
                <w:sz w:val="18"/>
                <w:szCs w:val="18"/>
              </w:rPr>
              <w:t xml:space="preserve"> Norte a été mis en œuvre en partenariat avec l'organisation des pêcheurs de </w:t>
            </w:r>
            <w:proofErr w:type="spellStart"/>
            <w:r w:rsidRPr="00684C10">
              <w:rPr>
                <w:rFonts w:ascii="Arial Narrow" w:hAnsi="Arial Narrow"/>
                <w:sz w:val="18"/>
                <w:szCs w:val="18"/>
              </w:rPr>
              <w:t>Tigbatas</w:t>
            </w:r>
            <w:proofErr w:type="spellEnd"/>
            <w:r w:rsidRPr="00684C10">
              <w:rPr>
                <w:rFonts w:ascii="Arial Narrow" w:hAnsi="Arial Narrow"/>
                <w:sz w:val="18"/>
                <w:szCs w:val="18"/>
              </w:rPr>
              <w:t xml:space="preserve"> (TFO). Ici, les palétuviers ne sont présents que par endroits et ne peuvent servir de barrières contre les fortes vagues et les ondes de tempête.  Comme solution grise pour augmenter la résilience climatique, une digue vivante perméable de 108 mètres a été établie à </w:t>
            </w:r>
            <w:proofErr w:type="spellStart"/>
            <w:r w:rsidRPr="00684C10">
              <w:rPr>
                <w:rFonts w:ascii="Arial Narrow" w:hAnsi="Arial Narrow"/>
                <w:sz w:val="18"/>
                <w:szCs w:val="18"/>
              </w:rPr>
              <w:t>Bacjawan</w:t>
            </w:r>
            <w:proofErr w:type="spellEnd"/>
            <w:r w:rsidRPr="00684C10">
              <w:rPr>
                <w:rFonts w:ascii="Arial Narrow" w:hAnsi="Arial Narrow"/>
                <w:sz w:val="18"/>
                <w:szCs w:val="18"/>
              </w:rPr>
              <w:t xml:space="preserve"> Norte.  Le brise-lames a été installé pour réduire l'énergie des vagues, faciliter l'accumulation de sédiments afin de fournir un substrat pour la plantation de palétuviers, et comme aide à la colonisation naturelle des coquillages. Cette mesure a été assortie d'une solution verte, à savoir la réhabilitation de 2,5 hectares de zone de mangrove dégradée par la plantation de 25 000 semis.  Cette plantation a été rendue possible par l'accumulation de sédiments provoquée par l'installation d'un brise-lames. Quelques mois plus tard, le brise-lames a été colonisé par des huîtres et d'autres mollusques locaux et est devenu une source de nourriture et de revenus supplémentaires pour les communautés locales. </w:t>
            </w:r>
          </w:p>
        </w:tc>
        <w:tc>
          <w:tcPr>
            <w:tcW w:w="4677" w:type="dxa"/>
            <w:shd w:val="clear" w:color="auto" w:fill="DEEAF6" w:themeFill="accent5" w:themeFillTint="33"/>
          </w:tcPr>
          <w:p w14:paraId="220BF724" w14:textId="7C3FD703" w:rsidR="00684C10" w:rsidRPr="00684C10" w:rsidRDefault="00484661" w:rsidP="00684C1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84661">
              <w:rPr>
                <w:rFonts w:ascii="Arial Narrow" w:hAnsi="Arial Narrow"/>
                <w:sz w:val="18"/>
                <w:szCs w:val="18"/>
              </w:rPr>
              <w:t xml:space="preserve">Un projet de production de poulets indigènes biologiques a été mis en place à </w:t>
            </w:r>
            <w:proofErr w:type="spellStart"/>
            <w:r w:rsidRPr="00484661">
              <w:rPr>
                <w:rFonts w:ascii="Arial Narrow" w:hAnsi="Arial Narrow"/>
                <w:sz w:val="18"/>
                <w:szCs w:val="18"/>
              </w:rPr>
              <w:t>Bacjawan</w:t>
            </w:r>
            <w:proofErr w:type="spellEnd"/>
            <w:r w:rsidRPr="00484661">
              <w:rPr>
                <w:rFonts w:ascii="Arial Narrow" w:hAnsi="Arial Narrow"/>
                <w:sz w:val="18"/>
                <w:szCs w:val="18"/>
              </w:rPr>
              <w:t xml:space="preserve"> Norte. Il s'agit de fournir une source durable de poulets indigènes pour </w:t>
            </w:r>
            <w:proofErr w:type="spellStart"/>
            <w:r w:rsidRPr="00484661">
              <w:rPr>
                <w:rFonts w:ascii="Arial Narrow" w:hAnsi="Arial Narrow"/>
                <w:sz w:val="18"/>
                <w:szCs w:val="18"/>
              </w:rPr>
              <w:t>Bacjawan</w:t>
            </w:r>
            <w:proofErr w:type="spellEnd"/>
            <w:r w:rsidRPr="00484661">
              <w:rPr>
                <w:rFonts w:ascii="Arial Narrow" w:hAnsi="Arial Narrow"/>
                <w:sz w:val="18"/>
                <w:szCs w:val="18"/>
              </w:rPr>
              <w:t xml:space="preserve"> Norte et de combler le manque de production de poulets indigènes à </w:t>
            </w:r>
            <w:proofErr w:type="spellStart"/>
            <w:r w:rsidRPr="00484661">
              <w:rPr>
                <w:rFonts w:ascii="Arial Narrow" w:hAnsi="Arial Narrow"/>
                <w:sz w:val="18"/>
                <w:szCs w:val="18"/>
              </w:rPr>
              <w:t>Concepcion</w:t>
            </w:r>
            <w:proofErr w:type="spellEnd"/>
            <w:r w:rsidRPr="00484661">
              <w:rPr>
                <w:rFonts w:ascii="Arial Narrow" w:hAnsi="Arial Narrow"/>
                <w:sz w:val="18"/>
                <w:szCs w:val="18"/>
              </w:rPr>
              <w:t xml:space="preserve">. Le projet vise à produire des poulets vivants et de la viande de volaille biologiques ainsi que des poussins et des œufs indigènes. Pour soutenir la production de poulets indigènes, TFO a reçu des équipements et des matériaux de base, des fonds pour la construction de poulaillers et d'une maison d'incubation, et un soutien pour le renforcement des capacités techniques et le mentorat. </w:t>
            </w:r>
          </w:p>
        </w:tc>
      </w:tr>
      <w:tr w:rsidR="00684C10" w:rsidRPr="00684C10" w14:paraId="357E688E" w14:textId="77777777" w:rsidTr="007F6DF7">
        <w:tc>
          <w:tcPr>
            <w:cnfStyle w:val="001000000000" w:firstRow="0" w:lastRow="0" w:firstColumn="1" w:lastColumn="0" w:oddVBand="0" w:evenVBand="0" w:oddHBand="0" w:evenHBand="0" w:firstRowFirstColumn="0" w:firstRowLastColumn="0" w:lastRowFirstColumn="0" w:lastRowLastColumn="0"/>
            <w:tcW w:w="2265" w:type="dxa"/>
          </w:tcPr>
          <w:p w14:paraId="7B931497" w14:textId="126AD86D" w:rsidR="00684C10" w:rsidRPr="00484661" w:rsidRDefault="00684C10" w:rsidP="00684C10">
            <w:pPr>
              <w:jc w:val="both"/>
              <w:rPr>
                <w:rFonts w:ascii="Arial Narrow" w:hAnsi="Arial Narrow"/>
                <w:b w:val="0"/>
                <w:bCs w:val="0"/>
                <w:sz w:val="18"/>
                <w:szCs w:val="18"/>
              </w:rPr>
            </w:pPr>
            <w:proofErr w:type="spellStart"/>
            <w:r w:rsidRPr="00484661">
              <w:rPr>
                <w:rFonts w:ascii="Arial Narrow" w:hAnsi="Arial Narrow"/>
                <w:b w:val="0"/>
                <w:bCs w:val="0"/>
                <w:sz w:val="18"/>
                <w:szCs w:val="18"/>
              </w:rPr>
              <w:t>Polopiňa</w:t>
            </w:r>
            <w:proofErr w:type="spellEnd"/>
          </w:p>
        </w:tc>
        <w:tc>
          <w:tcPr>
            <w:tcW w:w="8220" w:type="dxa"/>
          </w:tcPr>
          <w:p w14:paraId="3B4FAD35" w14:textId="3F457E8D" w:rsidR="00684C10" w:rsidRPr="00684C10" w:rsidRDefault="00684C10" w:rsidP="00684C1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4C10">
              <w:rPr>
                <w:rFonts w:ascii="Arial Narrow" w:hAnsi="Arial Narrow"/>
                <w:sz w:val="18"/>
                <w:szCs w:val="18"/>
              </w:rPr>
              <w:t xml:space="preserve">La mise en œuvre du projet GGI à </w:t>
            </w:r>
            <w:proofErr w:type="spellStart"/>
            <w:r w:rsidRPr="00684C10">
              <w:rPr>
                <w:rFonts w:ascii="Arial Narrow" w:hAnsi="Arial Narrow"/>
                <w:sz w:val="18"/>
                <w:szCs w:val="18"/>
              </w:rPr>
              <w:t>Concepcion</w:t>
            </w:r>
            <w:proofErr w:type="spellEnd"/>
            <w:r w:rsidRPr="00684C10">
              <w:rPr>
                <w:rFonts w:ascii="Arial Narrow" w:hAnsi="Arial Narrow"/>
                <w:sz w:val="18"/>
                <w:szCs w:val="18"/>
              </w:rPr>
              <w:t xml:space="preserve">, Iloilo, visait 3-4 sites. Les 4 sites ont été couverts par la mise en œuvre de GGI à </w:t>
            </w:r>
            <w:proofErr w:type="spellStart"/>
            <w:r w:rsidRPr="00684C10">
              <w:rPr>
                <w:rFonts w:ascii="Arial Narrow" w:hAnsi="Arial Narrow"/>
                <w:sz w:val="18"/>
                <w:szCs w:val="18"/>
              </w:rPr>
              <w:t>Bagongon</w:t>
            </w:r>
            <w:proofErr w:type="spellEnd"/>
            <w:r w:rsidRPr="00684C10">
              <w:rPr>
                <w:rFonts w:ascii="Arial Narrow" w:hAnsi="Arial Narrow"/>
                <w:sz w:val="18"/>
                <w:szCs w:val="18"/>
              </w:rPr>
              <w:t xml:space="preserve">, </w:t>
            </w:r>
            <w:proofErr w:type="spellStart"/>
            <w:r w:rsidRPr="00684C10">
              <w:rPr>
                <w:rFonts w:ascii="Arial Narrow" w:hAnsi="Arial Narrow"/>
                <w:sz w:val="18"/>
                <w:szCs w:val="18"/>
              </w:rPr>
              <w:t>Bacjawan</w:t>
            </w:r>
            <w:proofErr w:type="spellEnd"/>
            <w:r w:rsidRPr="00684C10">
              <w:rPr>
                <w:rFonts w:ascii="Arial Narrow" w:hAnsi="Arial Narrow"/>
                <w:sz w:val="18"/>
                <w:szCs w:val="18"/>
              </w:rPr>
              <w:t xml:space="preserve"> Norte, </w:t>
            </w:r>
            <w:proofErr w:type="spellStart"/>
            <w:r w:rsidRPr="00684C10">
              <w:rPr>
                <w:rFonts w:ascii="Arial Narrow" w:hAnsi="Arial Narrow"/>
                <w:sz w:val="18"/>
                <w:szCs w:val="18"/>
              </w:rPr>
              <w:t>Loong</w:t>
            </w:r>
            <w:proofErr w:type="spellEnd"/>
            <w:r w:rsidRPr="00684C10">
              <w:rPr>
                <w:rFonts w:ascii="Arial Narrow" w:hAnsi="Arial Narrow"/>
                <w:sz w:val="18"/>
                <w:szCs w:val="18"/>
              </w:rPr>
              <w:t xml:space="preserve"> et </w:t>
            </w:r>
            <w:proofErr w:type="spellStart"/>
            <w:r w:rsidRPr="00684C10">
              <w:rPr>
                <w:rFonts w:ascii="Arial Narrow" w:hAnsi="Arial Narrow"/>
                <w:sz w:val="18"/>
                <w:szCs w:val="18"/>
              </w:rPr>
              <w:t>Tambaliza</w:t>
            </w:r>
            <w:proofErr w:type="spellEnd"/>
            <w:r w:rsidRPr="00684C10">
              <w:rPr>
                <w:rFonts w:ascii="Arial Narrow" w:hAnsi="Arial Narrow"/>
                <w:sz w:val="18"/>
                <w:szCs w:val="18"/>
              </w:rPr>
              <w:t xml:space="preserve">. La mise en œuvre du projet à </w:t>
            </w:r>
            <w:proofErr w:type="spellStart"/>
            <w:r w:rsidRPr="00684C10">
              <w:rPr>
                <w:rFonts w:ascii="Arial Narrow" w:hAnsi="Arial Narrow"/>
                <w:sz w:val="18"/>
                <w:szCs w:val="18"/>
              </w:rPr>
              <w:t>Polopiňa</w:t>
            </w:r>
            <w:proofErr w:type="spellEnd"/>
            <w:r w:rsidRPr="00684C10">
              <w:rPr>
                <w:rFonts w:ascii="Arial Narrow" w:hAnsi="Arial Narrow"/>
                <w:sz w:val="18"/>
                <w:szCs w:val="18"/>
              </w:rPr>
              <w:t xml:space="preserve"> différait des quatre autres sites en ce qu'elle n'incluait pas de solutions grises. </w:t>
            </w:r>
            <w:proofErr w:type="spellStart"/>
            <w:r w:rsidRPr="00684C10">
              <w:rPr>
                <w:rFonts w:ascii="Arial Narrow" w:hAnsi="Arial Narrow"/>
                <w:sz w:val="18"/>
                <w:szCs w:val="18"/>
              </w:rPr>
              <w:t>Polopiňa</w:t>
            </w:r>
            <w:proofErr w:type="spellEnd"/>
            <w:r w:rsidRPr="00684C10">
              <w:rPr>
                <w:rFonts w:ascii="Arial Narrow" w:hAnsi="Arial Narrow"/>
                <w:sz w:val="18"/>
                <w:szCs w:val="18"/>
              </w:rPr>
              <w:t xml:space="preserve"> a été sélectionné comme 5ème site pour soutenir la mise en œuvre de solutions vertes dans 3 sites du projet GGI, notamment comme source de plants pour la réhabilitation de la mangrove.  Dans cette optique, CI Philippines a établi un partenariat avec le </w:t>
            </w:r>
            <w:proofErr w:type="spellStart"/>
            <w:r w:rsidRPr="00684C10">
              <w:rPr>
                <w:rFonts w:ascii="Arial Narrow" w:hAnsi="Arial Narrow"/>
                <w:sz w:val="18"/>
                <w:szCs w:val="18"/>
              </w:rPr>
              <w:t>Proper-Pasil</w:t>
            </w:r>
            <w:proofErr w:type="spellEnd"/>
            <w:r w:rsidRPr="00684C10">
              <w:rPr>
                <w:rFonts w:ascii="Arial Narrow" w:hAnsi="Arial Narrow"/>
                <w:sz w:val="18"/>
                <w:szCs w:val="18"/>
              </w:rPr>
              <w:t xml:space="preserve"> Guardian of Marine </w:t>
            </w:r>
            <w:proofErr w:type="spellStart"/>
            <w:r w:rsidRPr="00684C10">
              <w:rPr>
                <w:rFonts w:ascii="Arial Narrow" w:hAnsi="Arial Narrow"/>
                <w:sz w:val="18"/>
                <w:szCs w:val="18"/>
              </w:rPr>
              <w:t>Protected</w:t>
            </w:r>
            <w:proofErr w:type="spellEnd"/>
            <w:r w:rsidRPr="00684C10">
              <w:rPr>
                <w:rFonts w:ascii="Arial Narrow" w:hAnsi="Arial Narrow"/>
                <w:sz w:val="18"/>
                <w:szCs w:val="18"/>
              </w:rPr>
              <w:t xml:space="preserve"> Area (PROPAGAMPA) et a obtenu deux résultats : </w:t>
            </w:r>
          </w:p>
          <w:p w14:paraId="7AB4AD3B" w14:textId="32E682B9" w:rsidR="00684C10" w:rsidRPr="00684C10" w:rsidRDefault="00684C10" w:rsidP="00684C1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4C10">
              <w:rPr>
                <w:rFonts w:ascii="Arial Narrow" w:hAnsi="Arial Narrow"/>
                <w:sz w:val="18"/>
                <w:szCs w:val="18"/>
              </w:rPr>
              <w:t>(1)</w:t>
            </w:r>
            <w:r w:rsidR="00484661">
              <w:rPr>
                <w:rFonts w:ascii="Arial Narrow" w:hAnsi="Arial Narrow"/>
                <w:sz w:val="18"/>
                <w:szCs w:val="18"/>
              </w:rPr>
              <w:t xml:space="preserve"> </w:t>
            </w:r>
            <w:r w:rsidRPr="00684C10">
              <w:rPr>
                <w:rFonts w:ascii="Arial Narrow" w:hAnsi="Arial Narrow"/>
                <w:sz w:val="18"/>
                <w:szCs w:val="18"/>
              </w:rPr>
              <w:t xml:space="preserve">Soutien à PROPAGAMPA pour la mise en place d'une pépinière de mangroves à </w:t>
            </w:r>
            <w:proofErr w:type="spellStart"/>
            <w:r w:rsidRPr="00684C10">
              <w:rPr>
                <w:rFonts w:ascii="Arial Narrow" w:hAnsi="Arial Narrow"/>
                <w:sz w:val="18"/>
                <w:szCs w:val="18"/>
              </w:rPr>
              <w:t>Polopiňa</w:t>
            </w:r>
            <w:proofErr w:type="spellEnd"/>
            <w:r w:rsidRPr="00684C10">
              <w:rPr>
                <w:rFonts w:ascii="Arial Narrow" w:hAnsi="Arial Narrow"/>
                <w:sz w:val="18"/>
                <w:szCs w:val="18"/>
              </w:rPr>
              <w:t xml:space="preserve"> qui a permis de produire 57 900 semis qui ont été utilisés pour la réhabilitation des mangroves et la plantation d'enrichissement à </w:t>
            </w:r>
            <w:proofErr w:type="spellStart"/>
            <w:r w:rsidRPr="00684C10">
              <w:rPr>
                <w:rFonts w:ascii="Arial Narrow" w:hAnsi="Arial Narrow"/>
                <w:sz w:val="18"/>
                <w:szCs w:val="18"/>
              </w:rPr>
              <w:t>Loong</w:t>
            </w:r>
            <w:proofErr w:type="spellEnd"/>
            <w:r w:rsidRPr="00684C10">
              <w:rPr>
                <w:rFonts w:ascii="Arial Narrow" w:hAnsi="Arial Narrow"/>
                <w:sz w:val="18"/>
                <w:szCs w:val="18"/>
              </w:rPr>
              <w:t xml:space="preserve"> et </w:t>
            </w:r>
            <w:proofErr w:type="spellStart"/>
            <w:r w:rsidRPr="00684C10">
              <w:rPr>
                <w:rFonts w:ascii="Arial Narrow" w:hAnsi="Arial Narrow"/>
                <w:sz w:val="18"/>
                <w:szCs w:val="18"/>
              </w:rPr>
              <w:t>Tambaliza</w:t>
            </w:r>
            <w:proofErr w:type="spellEnd"/>
            <w:r w:rsidRPr="00684C10">
              <w:rPr>
                <w:rFonts w:ascii="Arial Narrow" w:hAnsi="Arial Narrow"/>
                <w:sz w:val="18"/>
                <w:szCs w:val="18"/>
              </w:rPr>
              <w:t xml:space="preserve">. </w:t>
            </w:r>
          </w:p>
          <w:p w14:paraId="0066AE9E" w14:textId="227A0CB0" w:rsidR="00684C10" w:rsidRPr="00684C10" w:rsidRDefault="00684C10" w:rsidP="00684C1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4C10">
              <w:rPr>
                <w:rFonts w:ascii="Arial Narrow" w:hAnsi="Arial Narrow"/>
                <w:sz w:val="18"/>
                <w:szCs w:val="18"/>
              </w:rPr>
              <w:t>(2)</w:t>
            </w:r>
            <w:r w:rsidR="00484661">
              <w:rPr>
                <w:rFonts w:ascii="Arial Narrow" w:hAnsi="Arial Narrow"/>
                <w:sz w:val="18"/>
                <w:szCs w:val="18"/>
              </w:rPr>
              <w:t xml:space="preserve"> </w:t>
            </w:r>
            <w:r w:rsidRPr="00684C10">
              <w:rPr>
                <w:rFonts w:ascii="Arial Narrow" w:hAnsi="Arial Narrow"/>
                <w:sz w:val="18"/>
                <w:szCs w:val="18"/>
              </w:rPr>
              <w:t xml:space="preserve">Nous avons aidé PROPAGAMPA à contribuer à la solution verte pour renforcer la résilience côtière à </w:t>
            </w:r>
            <w:proofErr w:type="spellStart"/>
            <w:r w:rsidRPr="00684C10">
              <w:rPr>
                <w:rFonts w:ascii="Arial Narrow" w:hAnsi="Arial Narrow"/>
                <w:sz w:val="18"/>
                <w:szCs w:val="18"/>
              </w:rPr>
              <w:t>Concepcion</w:t>
            </w:r>
            <w:proofErr w:type="spellEnd"/>
            <w:r w:rsidRPr="00684C10">
              <w:rPr>
                <w:rFonts w:ascii="Arial Narrow" w:hAnsi="Arial Narrow"/>
                <w:sz w:val="18"/>
                <w:szCs w:val="18"/>
              </w:rPr>
              <w:t xml:space="preserve"> en plantant 30 000 semis dans une zone de mangrove dégradée de 2,84 hectares à </w:t>
            </w:r>
            <w:proofErr w:type="spellStart"/>
            <w:r w:rsidRPr="00684C10">
              <w:rPr>
                <w:rFonts w:ascii="Arial Narrow" w:hAnsi="Arial Narrow"/>
                <w:sz w:val="18"/>
                <w:szCs w:val="18"/>
              </w:rPr>
              <w:t>Polopiňa</w:t>
            </w:r>
            <w:proofErr w:type="spellEnd"/>
            <w:r w:rsidRPr="00684C10">
              <w:rPr>
                <w:rFonts w:ascii="Arial Narrow" w:hAnsi="Arial Narrow"/>
                <w:sz w:val="18"/>
                <w:szCs w:val="18"/>
              </w:rPr>
              <w:t xml:space="preserve">. Les semis qui ont été plantés ont été élevés par PROPAGAMPA dans la pépinière de mangrove qui a été établie par le projet GGI. </w:t>
            </w:r>
          </w:p>
          <w:p w14:paraId="7E459260" w14:textId="77777777" w:rsidR="00684C10" w:rsidRPr="00684C10" w:rsidRDefault="00684C10" w:rsidP="00684C1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4E0D68CF" w14:textId="77777777" w:rsidR="00684C10" w:rsidRPr="00684C10" w:rsidRDefault="00684C10" w:rsidP="00684C1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84C10">
              <w:rPr>
                <w:rFonts w:ascii="Arial Narrow" w:hAnsi="Arial Narrow"/>
                <w:sz w:val="18"/>
                <w:szCs w:val="18"/>
              </w:rPr>
              <w:t xml:space="preserve">L'établissement d'une aire marine protégée communautaire (AMPC) de 147,3 hectares a également été soutenu par le projet par le biais de : (1) l'examen et la mise à jour du plan de gestion de l'AMP pour 2021-2025 ; (2) la fourniture d'équipements et de fournitures de base pour une application efficace de l'AMP et des patrouilles ; (3) l'installation de bouées de marquage de l'AMP pour délimiter les frontières de l'AMP et de panneaux de signalisation de l'AMP pour accroître la sensibilisation et le soutien ; et (3) la fourniture d'un soutien au renforcement des capacités par des formations et la facilitation de la formulation de plans d'AMP communautaires. </w:t>
            </w:r>
          </w:p>
          <w:p w14:paraId="5489D3F9" w14:textId="77777777" w:rsidR="00684C10" w:rsidRPr="00684C10" w:rsidRDefault="00684C10" w:rsidP="00684C1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4677" w:type="dxa"/>
          </w:tcPr>
          <w:p w14:paraId="17600DDD" w14:textId="77777777" w:rsidR="00484661" w:rsidRPr="00484661" w:rsidRDefault="00484661" w:rsidP="00484661">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84661">
              <w:rPr>
                <w:rFonts w:ascii="Arial Narrow" w:hAnsi="Arial Narrow"/>
                <w:sz w:val="18"/>
                <w:szCs w:val="18"/>
              </w:rPr>
              <w:t xml:space="preserve">La production de vêtements a été établie comme projet de subsistance à </w:t>
            </w:r>
            <w:proofErr w:type="spellStart"/>
            <w:r w:rsidRPr="00484661">
              <w:rPr>
                <w:rFonts w:ascii="Arial Narrow" w:hAnsi="Arial Narrow"/>
                <w:sz w:val="18"/>
                <w:szCs w:val="18"/>
              </w:rPr>
              <w:t>Polopiňa</w:t>
            </w:r>
            <w:proofErr w:type="spellEnd"/>
            <w:r w:rsidRPr="00484661">
              <w:rPr>
                <w:rFonts w:ascii="Arial Narrow" w:hAnsi="Arial Narrow"/>
                <w:sz w:val="18"/>
                <w:szCs w:val="18"/>
              </w:rPr>
              <w:t xml:space="preserve">. La formation à la confection de vêtements a été dispensée en partenariat avec l'autorité chargée de l'éducation technique et du développement des compétences (TESDA). Pour soutenir la production de vêtements, le projet GGI a fourni des équipements et des matériaux de base, y compris un système d'énergie solaire pour faire fonctionner les machines à coudre, ainsi que le renforcement des capacités techniques et le mentorat. Ce projet de subsistance visait initialement les écoles primaires et secondaires publiques de </w:t>
            </w:r>
            <w:proofErr w:type="spellStart"/>
            <w:r w:rsidRPr="00484661">
              <w:rPr>
                <w:rFonts w:ascii="Arial Narrow" w:hAnsi="Arial Narrow"/>
                <w:sz w:val="18"/>
                <w:szCs w:val="18"/>
              </w:rPr>
              <w:t>Concepcion</w:t>
            </w:r>
            <w:proofErr w:type="spellEnd"/>
            <w:r w:rsidRPr="00484661">
              <w:rPr>
                <w:rFonts w:ascii="Arial Narrow" w:hAnsi="Arial Narrow"/>
                <w:sz w:val="18"/>
                <w:szCs w:val="18"/>
              </w:rPr>
              <w:t>, à Iloilo. Compte tenu des limites imposées par la pandémie de COVID-19 aux séances de cours en face à face, PROPAGAMPA s'est orienté vers la production de masques de protection, de chapeaux et de serviettes de cuisinier, et de vêtements d'intérieur.</w:t>
            </w:r>
          </w:p>
          <w:p w14:paraId="4695DFAF" w14:textId="77777777" w:rsidR="00684C10" w:rsidRPr="00684C10" w:rsidRDefault="00684C10" w:rsidP="00484661">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5162414E" w14:textId="77777777" w:rsidR="00684C10" w:rsidRPr="00684C10" w:rsidRDefault="00684C10" w:rsidP="00684C10">
      <w:pPr>
        <w:spacing w:after="0"/>
        <w:jc w:val="both"/>
        <w:rPr>
          <w:rFonts w:ascii="Arial Narrow" w:hAnsi="Arial Narrow"/>
          <w:sz w:val="18"/>
          <w:szCs w:val="18"/>
        </w:rPr>
      </w:pPr>
    </w:p>
    <w:sectPr w:rsidR="00684C10" w:rsidRPr="00684C10" w:rsidSect="004846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10"/>
    <w:rsid w:val="00377995"/>
    <w:rsid w:val="00484661"/>
    <w:rsid w:val="004D45E5"/>
    <w:rsid w:val="00684C10"/>
    <w:rsid w:val="007F6DF7"/>
    <w:rsid w:val="00C40BE7"/>
    <w:rsid w:val="00DF6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16F9"/>
  <w15:chartTrackingRefBased/>
  <w15:docId w15:val="{22881A36-5FD3-40A3-A20B-8231F8A9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4C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7F6DF7"/>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1998</Words>
  <Characters>10992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Gabrie</dc:creator>
  <cp:keywords/>
  <dc:description/>
  <cp:lastModifiedBy>Catherine Gabrie</cp:lastModifiedBy>
  <cp:revision>3</cp:revision>
  <dcterms:created xsi:type="dcterms:W3CDTF">2022-06-08T11:42:00Z</dcterms:created>
  <dcterms:modified xsi:type="dcterms:W3CDTF">2022-06-08T11:56:00Z</dcterms:modified>
</cp:coreProperties>
</file>